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A8915" w14:textId="77777777" w:rsidR="0047636C" w:rsidRPr="00E01EC1" w:rsidRDefault="0047636C" w:rsidP="00C36EB8">
      <w:pPr>
        <w:autoSpaceDE w:val="0"/>
        <w:autoSpaceDN w:val="0"/>
        <w:adjustRightInd w:val="0"/>
        <w:spacing w:before="0" w:after="0" w:line="360" w:lineRule="auto"/>
        <w:ind w:left="0" w:firstLine="720"/>
        <w:jc w:val="center"/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</w:pPr>
      <w:r w:rsidRPr="00E01EC1"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  <w:t xml:space="preserve">Տեղեկանք </w:t>
      </w:r>
    </w:p>
    <w:p w14:paraId="03C9447D" w14:textId="77777777" w:rsidR="002A6323" w:rsidRPr="00E01EC1" w:rsidRDefault="002A6323" w:rsidP="00C36EB8">
      <w:pPr>
        <w:autoSpaceDE w:val="0"/>
        <w:autoSpaceDN w:val="0"/>
        <w:adjustRightInd w:val="0"/>
        <w:spacing w:before="0" w:after="0" w:line="360" w:lineRule="auto"/>
        <w:ind w:left="0" w:firstLine="720"/>
        <w:jc w:val="center"/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</w:pPr>
      <w:r w:rsidRPr="00E01EC1"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  <w:t xml:space="preserve">գնումների մասին ՀՀ օրենսդրությամբ խորհրդատվական ծառայությունների ձեռքբերման ընթացակարգի կազմակերպման մասին </w:t>
      </w:r>
    </w:p>
    <w:p w14:paraId="2375CFD2" w14:textId="77777777" w:rsidR="00250C72" w:rsidRPr="00E01EC1" w:rsidRDefault="00250C72" w:rsidP="00E5553A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</w:pPr>
    </w:p>
    <w:p w14:paraId="26C9FD5E" w14:textId="1A5D7DCA" w:rsidR="00500C5B" w:rsidRPr="00E01EC1" w:rsidRDefault="002A6323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Ըստ գործող կարգավորումների, խորհրդատվական ծառա</w:t>
      </w:r>
      <w:r w:rsidR="00500C5B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յությունների ձեռքբերումն իրականացվում է երկփուլ մրցույթով՝ նախաորակավորման ընթացակարգի կազմակերպման միջոցով:</w:t>
      </w:r>
    </w:p>
    <w:p w14:paraId="291E82E8" w14:textId="77777777" w:rsidR="000F0C2E" w:rsidRPr="00E01EC1" w:rsidRDefault="000F0C2E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/>
          <w:bCs/>
          <w:noProof/>
          <w:sz w:val="24"/>
          <w:szCs w:val="24"/>
          <w:u w:val="single"/>
          <w:lang w:val="hy-AM" w:eastAsia="ru-RU"/>
        </w:rPr>
      </w:pPr>
    </w:p>
    <w:p w14:paraId="372DFD09" w14:textId="757F20E9" w:rsidR="000F0C2E" w:rsidRPr="00E01EC1" w:rsidRDefault="000F0C2E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/>
          <w:bCs/>
          <w:noProof/>
          <w:sz w:val="24"/>
          <w:szCs w:val="24"/>
          <w:u w:val="single"/>
          <w:lang w:val="hy-AM" w:eastAsia="ru-RU"/>
        </w:rPr>
      </w:pPr>
      <w:r w:rsidRPr="00E01EC1">
        <w:rPr>
          <w:rFonts w:ascii="GHEA Grapalat" w:eastAsia="Times New Roman" w:hAnsi="GHEA Grapalat"/>
          <w:b/>
          <w:bCs/>
          <w:noProof/>
          <w:sz w:val="24"/>
          <w:szCs w:val="24"/>
          <w:u w:val="single"/>
          <w:lang w:val="hy-AM" w:eastAsia="ru-RU"/>
        </w:rPr>
        <w:t>Նախաորակավորման ընթացակարգ</w:t>
      </w:r>
    </w:p>
    <w:p w14:paraId="6A36E682" w14:textId="322B445C" w:rsidR="002A6323" w:rsidRPr="00E01EC1" w:rsidRDefault="00500C5B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Նախաորակավորման ընթացակարգը կազմակերպելու նպատակով </w:t>
      </w:r>
      <w:hyperlink r:id="rId5" w:history="1">
        <w:r w:rsidR="0062190D" w:rsidRPr="00E01EC1">
          <w:rPr>
            <w:rStyle w:val="Hyperlink"/>
            <w:rFonts w:ascii="GHEA Grapalat" w:eastAsia="Times New Roman" w:hAnsi="GHEA Grapalat"/>
            <w:noProof/>
            <w:sz w:val="24"/>
            <w:szCs w:val="24"/>
            <w:lang w:val="hy-AM" w:eastAsia="ru-RU"/>
          </w:rPr>
          <w:t>www.procurement.am</w:t>
        </w:r>
      </w:hyperlink>
      <w:r w:rsidR="0062190D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հասցով գործող գնումների պաշտոնակիան տեղեկագրում 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հրապարակվում է հայտարարություն՝ հայերեն, ռուսերեն և անգլերեն լեզուներով: Ընթացակարգին կարող է մասնակցել ցանկացած անձ՝ անկախ ՀՀ ռեզիդենտ և ոչ ռեզիդենտ լինելու հանգամանքից:</w:t>
      </w:r>
    </w:p>
    <w:p w14:paraId="0F9802D1" w14:textId="774FE67C" w:rsidR="0062190D" w:rsidRPr="00E01EC1" w:rsidRDefault="00500C5B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Նախաորակավորման ընթացակարգի հայտարարությունը պարունակում է տեղեկատվություն հայտերի ներկայացման ժամկետների, վայրի, նախաորակավորված մասնակիցների ցուցակում ընդգրկվելու համար նախատեսված որակավորման չափանիշի և դրա գնահատման համար պահանջվող փաստաթղթերի մասին:</w:t>
      </w:r>
      <w:r w:rsidR="0062190D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Հ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այտերը կարող են ներկայացվել ինչպես փակ ծրարով, այնպես էլ էլեկտրոնային՝ </w:t>
      </w:r>
      <w:r w:rsidR="0062190D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հայերեն, ռուսերեն կամ անգլերեն լեզուներով: Անհրաժեշտության դեպքում շահագրգիռ անձինք կարող են հանձնաժողոից պահանջել և ստանալ պարզաբանումներ՝ նախաորակավորման հայտարարության վերաբերյալ:</w:t>
      </w:r>
    </w:p>
    <w:p w14:paraId="5BB1F37C" w14:textId="33988454" w:rsidR="0062190D" w:rsidRPr="00E01EC1" w:rsidRDefault="0062190D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Հայտերի ներկայացման համար սահման</w:t>
      </w:r>
      <w:r w:rsidR="000304FA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վող ժամկետը չպետք է պակաս լինի 4</w:t>
      </w:r>
      <w:r w:rsidR="00D30887">
        <w:rPr>
          <w:rFonts w:ascii="GHEA Grapalat" w:eastAsia="Times New Roman" w:hAnsi="GHEA Grapalat"/>
          <w:noProof/>
          <w:sz w:val="24"/>
          <w:szCs w:val="24"/>
          <w:lang w:eastAsia="ru-RU"/>
        </w:rPr>
        <w:t>0</w:t>
      </w:r>
      <w:bookmarkStart w:id="0" w:name="_GoBack"/>
      <w:bookmarkEnd w:id="0"/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օրացուցային օրից: </w:t>
      </w:r>
    </w:p>
    <w:p w14:paraId="66EB4075" w14:textId="77777777" w:rsidR="00C65708" w:rsidRPr="00E01EC1" w:rsidRDefault="0062190D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Հանձնաժողովի որոշմամբ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նախաորակավորման հայտարարությունը, բացի հրապարակումը, կարող է էլ. փսստի միջոցով տրամադրվել նաև բնագավառում գործունեություն ծավալով անձանց:</w:t>
      </w:r>
    </w:p>
    <w:p w14:paraId="54B66833" w14:textId="77777777" w:rsidR="00C65708" w:rsidRPr="00E01EC1" w:rsidRDefault="00C65708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Նախաորակավորման ընթացակարգին մասնակցելու հայտերը գնահատվում են հանձնաժողովի կողմից և եթե դրանցում արձանագրվում են անհամապատասխանություններ, ապա տվյալ մասնակցին տրվում է այն շտկելու հնարավորություն:</w:t>
      </w:r>
    </w:p>
    <w:p w14:paraId="5BAF043F" w14:textId="77777777" w:rsidR="00C65708" w:rsidRPr="00E01EC1" w:rsidRDefault="00C65708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lastRenderedPageBreak/>
        <w:t>Նախաորակավորված մասնակիցների ցուցակում ներառվում են այն մասնակիցները, որոնց հայտերը գնահատվել են հայտարարության պահանջներին համապատասանող, այդ թվում որակավորման չափանիշի մասով:</w:t>
      </w:r>
    </w:p>
    <w:p w14:paraId="5487E49A" w14:textId="6958BAC4" w:rsidR="00C65708" w:rsidRPr="00E01EC1" w:rsidRDefault="00C65708" w:rsidP="00C6570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Նախաորակավորված մասնակիցների ցուցակը կազմելուց հետո հանձնաժողովը հաստատում է մրցույթի 1-ին փուլի հրավերը, որով գնման առարկայի հատկանիշները սահմանվում են որպես կատարողականի կամ գործառութային (ֆունկցիոնալ) նկարագրերի նախնական տարբերակ:</w:t>
      </w:r>
    </w:p>
    <w:p w14:paraId="0C01EFFC" w14:textId="2E239EF4" w:rsidR="00C65708" w:rsidRPr="00E01EC1" w:rsidRDefault="00C65708" w:rsidP="00C6570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Հայտերի կարող են ներկայացնել միայն նախաորակավորված մասնակիցները:</w:t>
      </w:r>
    </w:p>
    <w:p w14:paraId="612A99F8" w14:textId="13BB2CB3" w:rsidR="00C76073" w:rsidRPr="00E01EC1" w:rsidRDefault="00C76073" w:rsidP="00C6570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/>
          <w:bCs/>
          <w:noProof/>
          <w:sz w:val="24"/>
          <w:szCs w:val="24"/>
          <w:u w:val="single"/>
          <w:lang w:val="hy-AM" w:eastAsia="ru-RU"/>
        </w:rPr>
      </w:pPr>
      <w:r w:rsidRPr="00E01EC1">
        <w:rPr>
          <w:rFonts w:ascii="GHEA Grapalat" w:eastAsia="Times New Roman" w:hAnsi="GHEA Grapalat"/>
          <w:b/>
          <w:bCs/>
          <w:noProof/>
          <w:sz w:val="24"/>
          <w:szCs w:val="24"/>
          <w:u w:val="single"/>
          <w:lang w:val="hy-AM" w:eastAsia="ru-RU"/>
        </w:rPr>
        <w:t xml:space="preserve">Մրցույթի </w:t>
      </w:r>
      <w:r w:rsidR="00402A6D" w:rsidRPr="00E01EC1">
        <w:rPr>
          <w:rFonts w:ascii="GHEA Grapalat" w:eastAsia="Times New Roman" w:hAnsi="GHEA Grapalat"/>
          <w:b/>
          <w:bCs/>
          <w:noProof/>
          <w:sz w:val="24"/>
          <w:szCs w:val="24"/>
          <w:u w:val="single"/>
          <w:lang w:val="hy-AM" w:eastAsia="ru-RU"/>
        </w:rPr>
        <w:t xml:space="preserve">1-ին փուլ </w:t>
      </w:r>
    </w:p>
    <w:p w14:paraId="7C59BC76" w14:textId="23C6F1AF" w:rsidR="00C65708" w:rsidRPr="00E01EC1" w:rsidRDefault="00C65708" w:rsidP="00C6570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Առաջին փուլի հրավերի հիման վրա նախաորակավորված մասնակիցները թղթային կամ էլեկտրոնային եղանակով </w:t>
      </w:r>
      <w:r w:rsidR="005C2612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(հայերեն, ռուսերեն կամ անգլերեն) 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ներկայացնում են իրենց առաջարկները հրավերով ներկայացված գնման առարկայի կատարողականի կամ գործառութային (ֆունկցիոնալ) նկարագրերի վերաբերյալ (նկարագրերի առաջարկ): Մասնակիցը նկարագրերի առաջարկի հիմնավորման նպատակով առաջին փուլի հայտով կարող է ներկայացնել հիմնավորող փաստաթղթեր, տեղեկություններ, եզրակացություններ և այլ նյութեր: 1-ին փուլի հայտը չի պարունակում գնային առաջարկ: Հայտերի ներկայացման ժամկետը չպետք է պակաս լինի </w:t>
      </w:r>
      <w:r w:rsidR="00AA60CD" w:rsidRPr="00AA60CD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40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օրացուցային օրից:</w:t>
      </w:r>
    </w:p>
    <w:p w14:paraId="7B56D146" w14:textId="51FC1AFC" w:rsidR="00C65708" w:rsidRPr="00E01EC1" w:rsidRDefault="005C2612" w:rsidP="00C6570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Հայտերի ներկայացման ժամկետը լրանալուց հետո հանձնաժողովը</w:t>
      </w:r>
      <w:r w:rsidR="00D97413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նախաորակավորված բոլոր մասնակիցներին հրավիրում է միաժամանակյա բանակցությունների: Նկարագրերի առաջարկ ներկայացրած մասնակցի հետ առանձին բանակցություններն արգելվում են: Բանակցությունների արդյունքում հաստատ</w:t>
      </w:r>
      <w:r w:rsidR="008578B4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վ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ում </w:t>
      </w:r>
      <w:r w:rsidR="008578B4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է 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գնման առարկայի կատարողականի կամ գործառութային (ֆունկցիոնալ) վերջնական նկարագրերը</w:t>
      </w:r>
      <w:r w:rsidR="008578B4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՝ 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բավարար ճշտությամբ` հնարավորություն տալով մասնակիցներին և պատվիրատուին ճշգրիտ ընկալել պայմանագրի առարկան</w:t>
      </w:r>
      <w:r w:rsidR="008578B4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:</w:t>
      </w:r>
    </w:p>
    <w:p w14:paraId="6DF762F3" w14:textId="73E2EF15" w:rsidR="009D2E69" w:rsidRPr="00E01EC1" w:rsidRDefault="009D2E69" w:rsidP="000F0C2E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/>
          <w:bCs/>
          <w:noProof/>
          <w:sz w:val="24"/>
          <w:szCs w:val="24"/>
          <w:u w:val="single"/>
          <w:lang w:val="hy-AM" w:eastAsia="ru-RU"/>
        </w:rPr>
      </w:pPr>
      <w:r w:rsidRPr="00E01EC1">
        <w:rPr>
          <w:rFonts w:ascii="GHEA Grapalat" w:eastAsia="Times New Roman" w:hAnsi="GHEA Grapalat"/>
          <w:b/>
          <w:bCs/>
          <w:noProof/>
          <w:sz w:val="24"/>
          <w:szCs w:val="24"/>
          <w:u w:val="single"/>
          <w:lang w:val="hy-AM" w:eastAsia="ru-RU"/>
        </w:rPr>
        <w:t>Մրցույթի 2-րդ փուլ</w:t>
      </w:r>
    </w:p>
    <w:p w14:paraId="584855AA" w14:textId="0131C8F7" w:rsidR="00C65708" w:rsidRPr="00E01EC1" w:rsidRDefault="008578B4" w:rsidP="000F0C2E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Վերջնական նկարագրերն ունենալուց հետո </w:t>
      </w:r>
      <w:r w:rsidR="000F0C2E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հանձնաժողովի որոշմամբ հաստատվում է մրցույթի 2-րդ փուլի հրավերը, որն ուղարկվում է 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նախաորակավորված բոլոր մասնակիցներին</w:t>
      </w:r>
      <w:r w:rsidR="000F0C2E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: 2-րդ 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փուլի հայտերը ներկայացնելու համար նախատեսվող ժամկետը պետք է պակաս չլինի քսան օրացուցային օրվանից</w:t>
      </w:r>
      <w:r w:rsidR="000F0C2E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:</w:t>
      </w:r>
    </w:p>
    <w:p w14:paraId="383066D8" w14:textId="4BBA39BE" w:rsidR="009D2E69" w:rsidRPr="00E01EC1" w:rsidRDefault="000F0C2E" w:rsidP="009D2E69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lastRenderedPageBreak/>
        <w:t>Հայտը ներկ</w:t>
      </w:r>
      <w:r w:rsidR="005235EF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այացվում է </w:t>
      </w:r>
      <w:r w:rsidR="009D2E69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թղթային</w:t>
      </w:r>
      <w:r w:rsidR="005235EF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եղանակով</w:t>
      </w:r>
      <w:r w:rsidR="009D2E69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՝ փակ ծրարով</w:t>
      </w:r>
      <w:r w:rsidR="005235EF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(հայերեն, ռուսերեն կամ անգլերեն)</w:t>
      </w:r>
      <w:r w:rsidR="009D2E69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: 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Ընդ որում, գնային առաջարկը, որը պետք է դրվի նշված ծրարում, ներկայացվում է փակ` սոսնձված առանձին ծրարով</w:t>
      </w:r>
      <w:r w:rsidR="009D2E69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:</w:t>
      </w:r>
    </w:p>
    <w:p w14:paraId="3827F14A" w14:textId="77777777" w:rsidR="005235EF" w:rsidRPr="00E01EC1" w:rsidRDefault="005235EF" w:rsidP="005235EF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Հ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այտը 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բացի գնային առաջարկը ներառում է նաև 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որակավորման չափանիշներին մասնակցի համապատասխանությունը հիմնավորող փաստաթղթերը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և 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տեխնիկական առաջարկ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ը:</w:t>
      </w:r>
    </w:p>
    <w:p w14:paraId="0E03F7FB" w14:textId="77777777" w:rsidR="005235EF" w:rsidRPr="00E01EC1" w:rsidRDefault="005235EF" w:rsidP="005235EF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Հայտերը բացվելուց հետո 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գնային առաջարկներ պարունակող ծրարները չեն բացվում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:</w:t>
      </w:r>
    </w:p>
    <w:p w14:paraId="5BBA872F" w14:textId="5457136D" w:rsidR="00C65708" w:rsidRPr="00E01EC1" w:rsidRDefault="005235EF" w:rsidP="005235EF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Բացված հայտերում լ</w:t>
      </w:r>
      <w:r w:rsidR="00C6570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ավագույն տեխնիկական առաջարկ ներկայացրած մասնակցի (մասնակիցների) առաջարկը գնահատվում է առավելագույն` «100» միավորով: Լավագույն գնահատված տեխնիկական առաջարկի համեմատությամբ գնահատվում են մնացած բոլոր տեխնիկական առաջարկները:</w:t>
      </w:r>
    </w:p>
    <w:p w14:paraId="10DF2B2E" w14:textId="2142E751" w:rsidR="00C65708" w:rsidRPr="00E01EC1" w:rsidRDefault="00C65708" w:rsidP="005235EF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Հրավերի նվազագույն պահանջները չբավարարող հայտերը համարվում են անբավարար և մերժվում են:</w:t>
      </w:r>
      <w:r w:rsidR="005235EF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Հայտերի գնահատման արդյունքների </w:t>
      </w:r>
      <w:r w:rsidR="005235EF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հաստատման մասին փաստաթղթով, որն ուղարկվում է հայտեր ներկայացրած մասնակիցներին, սահմանվում են նաև գնային առաջարկների բացման 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նիստի օրը, վայրը և ժամը</w:t>
      </w:r>
      <w:r w:rsidR="005235EF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: Ընդ որում հայտերի բացման նիստի 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</w:t>
      </w:r>
      <w:r w:rsidR="005235EF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որը 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բայց ոչ շուտ, քան ծանուցում ուղարկվելու օրվան հաջորդող հինգ աշխատանքային օրվա ընթացքում:</w:t>
      </w:r>
    </w:p>
    <w:p w14:paraId="6A34E794" w14:textId="0911585C" w:rsidR="00C65708" w:rsidRPr="00E01EC1" w:rsidRDefault="00C6570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Մասնակիցների հայտերը գնահատվում են հետևյալ կարգով`</w:t>
      </w:r>
    </w:p>
    <w:p w14:paraId="0AA513CE" w14:textId="77777777" w:rsidR="00C65708" w:rsidRPr="00E01EC1" w:rsidRDefault="00C6570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1) նվազագույն գնային առաջարկ ներկայացրած մասնակցի ֆինանսական առաջարկը գնահատվում է հարյուր միավոր, իսկ մյուս մասնակիցների ֆինանսական առաջարկներին տրվող միավորները հաշվարկվում են հետևյալ բանաձևով`</w:t>
      </w:r>
    </w:p>
    <w:p w14:paraId="58642D6F" w14:textId="79777605" w:rsidR="00C65708" w:rsidRPr="00E01EC1" w:rsidRDefault="00C6570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eastAsia="Times New Roman" w:cs="Calibri"/>
          <w:noProof/>
          <w:sz w:val="24"/>
          <w:szCs w:val="24"/>
          <w:lang w:val="hy-AM" w:eastAsia="ru-RU"/>
        </w:rPr>
        <w:t>  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ԳՄ= ՆԳ X 100/ԳԳ,</w:t>
      </w:r>
    </w:p>
    <w:p w14:paraId="44567AD3" w14:textId="76F78B49" w:rsidR="00C65708" w:rsidRPr="00E01EC1" w:rsidRDefault="00C6570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eastAsia="Times New Roman" w:cs="Calibri"/>
          <w:noProof/>
          <w:sz w:val="24"/>
          <w:szCs w:val="24"/>
          <w:lang w:val="hy-AM" w:eastAsia="ru-RU"/>
        </w:rPr>
        <w:t>  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որտեղ`</w:t>
      </w:r>
    </w:p>
    <w:p w14:paraId="44B2DA3A" w14:textId="77777777" w:rsidR="00C65708" w:rsidRPr="00E01EC1" w:rsidRDefault="00C6570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ԳՄ-ն գնային առաջարկին տրվող միավորն է,</w:t>
      </w:r>
    </w:p>
    <w:p w14:paraId="1C6ABA4A" w14:textId="77777777" w:rsidR="00C65708" w:rsidRPr="00E01EC1" w:rsidRDefault="00C6570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ՆԳ-ն նվազագույն գինն է,</w:t>
      </w:r>
    </w:p>
    <w:p w14:paraId="45796CD8" w14:textId="77777777" w:rsidR="00C65708" w:rsidRPr="00E01EC1" w:rsidRDefault="00C6570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ԳԳ-ն գնահատվող մասնակցի առաջարկած գինն է,</w:t>
      </w:r>
    </w:p>
    <w:p w14:paraId="5E516AA4" w14:textId="77777777" w:rsidR="00C65708" w:rsidRPr="00E01EC1" w:rsidRDefault="00C6570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2) տեխնիկապես բավարար գնահատված յուրաքանչյուր մասնակցին տրվող գնահատականը հաշվարկվում է հետևյալ բանաձևով`</w:t>
      </w:r>
    </w:p>
    <w:p w14:paraId="7474FD0D" w14:textId="77777777" w:rsidR="00C65708" w:rsidRPr="00E01EC1" w:rsidRDefault="00C6570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eastAsia="Times New Roman" w:cs="Calibri"/>
          <w:noProof/>
          <w:sz w:val="24"/>
          <w:szCs w:val="24"/>
          <w:lang w:val="hy-AM" w:eastAsia="ru-RU"/>
        </w:rPr>
        <w:t> </w:t>
      </w:r>
    </w:p>
    <w:p w14:paraId="471CD601" w14:textId="77777777" w:rsidR="00C65708" w:rsidRPr="00E01EC1" w:rsidRDefault="00C6570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E01EC1">
        <w:rPr>
          <w:rFonts w:eastAsia="Times New Roman" w:cs="Calibri"/>
          <w:noProof/>
          <w:sz w:val="24"/>
          <w:szCs w:val="24"/>
          <w:lang w:val="hy-AM" w:eastAsia="ru-RU"/>
        </w:rPr>
        <w:lastRenderedPageBreak/>
        <w:t> 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ՄԳ = (ԳՄ X 0.7) + (ՏԱ X 0.3),</w:t>
      </w:r>
    </w:p>
    <w:p w14:paraId="384ACEFD" w14:textId="77777777" w:rsidR="00C65708" w:rsidRPr="00E01EC1" w:rsidRDefault="00C65708" w:rsidP="00C65708">
      <w:pPr>
        <w:shd w:val="clear" w:color="auto" w:fill="FFFFFF"/>
        <w:spacing w:before="0" w:after="0"/>
        <w:ind w:left="0" w:firstLine="375"/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</w:pPr>
      <w:r w:rsidRPr="00E01EC1">
        <w:rPr>
          <w:rFonts w:eastAsia="Times New Roman" w:cs="Calibri"/>
          <w:noProof/>
          <w:color w:val="000000"/>
          <w:sz w:val="24"/>
          <w:szCs w:val="24"/>
          <w:lang w:val="hy-AM"/>
        </w:rPr>
        <w:t> </w:t>
      </w:r>
    </w:p>
    <w:p w14:paraId="28F38598" w14:textId="77777777" w:rsidR="00C65708" w:rsidRPr="00E01EC1" w:rsidRDefault="00C65708" w:rsidP="00FF7062">
      <w:pPr>
        <w:shd w:val="clear" w:color="auto" w:fill="FFFFFF"/>
        <w:spacing w:before="0" w:after="0" w:line="360" w:lineRule="auto"/>
        <w:ind w:left="0" w:firstLine="375"/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</w:pPr>
      <w:r w:rsidRPr="00E01EC1">
        <w:rPr>
          <w:rFonts w:eastAsia="Times New Roman" w:cs="Calibri"/>
          <w:noProof/>
          <w:color w:val="000000"/>
          <w:sz w:val="24"/>
          <w:szCs w:val="24"/>
          <w:lang w:val="hy-AM"/>
        </w:rPr>
        <w:t> </w:t>
      </w:r>
      <w:r w:rsidRPr="00E01EC1">
        <w:rPr>
          <w:rFonts w:ascii="GHEA Grapalat" w:eastAsia="Times New Roman" w:hAnsi="GHEA Grapalat" w:cs="Arial Unicode"/>
          <w:noProof/>
          <w:color w:val="000000"/>
          <w:sz w:val="24"/>
          <w:szCs w:val="24"/>
          <w:lang w:val="hy-AM"/>
        </w:rPr>
        <w:t>որտեղ</w:t>
      </w:r>
      <w:r w:rsidRPr="00E01EC1"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  <w:t>`</w:t>
      </w:r>
    </w:p>
    <w:p w14:paraId="2158EF36" w14:textId="77777777" w:rsidR="00C65708" w:rsidRPr="00E01EC1" w:rsidRDefault="00C65708" w:rsidP="00FF7062">
      <w:pPr>
        <w:shd w:val="clear" w:color="auto" w:fill="FFFFFF"/>
        <w:spacing w:before="0" w:after="0" w:line="360" w:lineRule="auto"/>
        <w:ind w:left="0" w:firstLine="375"/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</w:pPr>
      <w:r w:rsidRPr="00E01EC1"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  <w:t>ՄԳ-ն մասնակցին տրվող գնահատականն է,</w:t>
      </w:r>
    </w:p>
    <w:p w14:paraId="6BDDC008" w14:textId="77777777" w:rsidR="00C65708" w:rsidRPr="00E01EC1" w:rsidRDefault="00C65708" w:rsidP="00FF7062">
      <w:pPr>
        <w:shd w:val="clear" w:color="auto" w:fill="FFFFFF"/>
        <w:spacing w:before="0" w:after="0" w:line="360" w:lineRule="auto"/>
        <w:ind w:left="0" w:firstLine="375"/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</w:pPr>
      <w:r w:rsidRPr="00E01EC1"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  <w:t>ԳՄ-ն մասնակցի գնային առաջարկին տրված միավորն է,</w:t>
      </w:r>
    </w:p>
    <w:p w14:paraId="351CF5CF" w14:textId="77777777" w:rsidR="00C65708" w:rsidRPr="00E01EC1" w:rsidRDefault="00C65708" w:rsidP="00FF7062">
      <w:pPr>
        <w:shd w:val="clear" w:color="auto" w:fill="FFFFFF"/>
        <w:spacing w:before="0" w:after="0" w:line="360" w:lineRule="auto"/>
        <w:ind w:left="0" w:firstLine="375"/>
        <w:rPr>
          <w:rFonts w:ascii="Arial Unicode" w:eastAsia="Times New Roman" w:hAnsi="Arial Unicode"/>
          <w:noProof/>
          <w:color w:val="000000"/>
          <w:sz w:val="21"/>
          <w:szCs w:val="21"/>
          <w:lang w:val="hy-AM"/>
        </w:rPr>
      </w:pPr>
      <w:r w:rsidRPr="00E01EC1"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  <w:t>ՏԱ-ն մասնակցի տեխնիկական առաջարկին տրված միավորն է</w:t>
      </w:r>
      <w:r w:rsidRPr="00E01EC1">
        <w:rPr>
          <w:rFonts w:ascii="Arial Unicode" w:eastAsia="Times New Roman" w:hAnsi="Arial Unicode"/>
          <w:noProof/>
          <w:color w:val="000000"/>
          <w:sz w:val="21"/>
          <w:szCs w:val="21"/>
          <w:lang w:val="hy-AM"/>
        </w:rPr>
        <w:t>.</w:t>
      </w:r>
    </w:p>
    <w:p w14:paraId="58D8DDCB" w14:textId="3ED44ADF" w:rsidR="00C65708" w:rsidRPr="00E01EC1" w:rsidRDefault="00C65708" w:rsidP="00C56AAC">
      <w:pPr>
        <w:shd w:val="clear" w:color="auto" w:fill="FFFFFF"/>
        <w:spacing w:before="0" w:after="0" w:line="360" w:lineRule="auto"/>
        <w:ind w:left="0" w:firstLine="375"/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</w:pPr>
      <w:r w:rsidRPr="00E01EC1"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  <w:t>Ընտրված մասնակից է ճանաչվում այն մասնակիցը, որին տրված գնահատականը (ՄԳ) ամենաբարձրն է:</w:t>
      </w:r>
    </w:p>
    <w:sectPr w:rsidR="00C65708" w:rsidRPr="00E01EC1" w:rsidSect="00F041AC">
      <w:pgSz w:w="12240" w:h="15840"/>
      <w:pgMar w:top="567" w:right="900" w:bottom="99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352F"/>
    <w:multiLevelType w:val="hybridMultilevel"/>
    <w:tmpl w:val="351E3556"/>
    <w:lvl w:ilvl="0" w:tplc="64F4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665B7"/>
    <w:multiLevelType w:val="hybridMultilevel"/>
    <w:tmpl w:val="D646D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5"/>
    <w:rsid w:val="00013993"/>
    <w:rsid w:val="000304FA"/>
    <w:rsid w:val="000377E4"/>
    <w:rsid w:val="00041498"/>
    <w:rsid w:val="00041DF5"/>
    <w:rsid w:val="0007090E"/>
    <w:rsid w:val="000A0215"/>
    <w:rsid w:val="000F0C2E"/>
    <w:rsid w:val="00163A44"/>
    <w:rsid w:val="00174350"/>
    <w:rsid w:val="0018422F"/>
    <w:rsid w:val="001D1C1C"/>
    <w:rsid w:val="002128AD"/>
    <w:rsid w:val="002234F7"/>
    <w:rsid w:val="00250C72"/>
    <w:rsid w:val="00295648"/>
    <w:rsid w:val="002A6323"/>
    <w:rsid w:val="003605DC"/>
    <w:rsid w:val="00383BBA"/>
    <w:rsid w:val="003B7E41"/>
    <w:rsid w:val="00402A6D"/>
    <w:rsid w:val="004570F8"/>
    <w:rsid w:val="0047636C"/>
    <w:rsid w:val="004823C8"/>
    <w:rsid w:val="004F39E9"/>
    <w:rsid w:val="00500C5B"/>
    <w:rsid w:val="005235EF"/>
    <w:rsid w:val="005B19AE"/>
    <w:rsid w:val="005B3558"/>
    <w:rsid w:val="005C2612"/>
    <w:rsid w:val="005C40D3"/>
    <w:rsid w:val="0062190D"/>
    <w:rsid w:val="006546FC"/>
    <w:rsid w:val="006B0C29"/>
    <w:rsid w:val="006E0D92"/>
    <w:rsid w:val="0070774F"/>
    <w:rsid w:val="007D7646"/>
    <w:rsid w:val="0081420B"/>
    <w:rsid w:val="00845D35"/>
    <w:rsid w:val="008578B4"/>
    <w:rsid w:val="008C3402"/>
    <w:rsid w:val="008E493A"/>
    <w:rsid w:val="009C529E"/>
    <w:rsid w:val="009D2E69"/>
    <w:rsid w:val="00A118CC"/>
    <w:rsid w:val="00A23E3D"/>
    <w:rsid w:val="00A306F5"/>
    <w:rsid w:val="00A70954"/>
    <w:rsid w:val="00AA60CD"/>
    <w:rsid w:val="00AD664F"/>
    <w:rsid w:val="00AD6DF4"/>
    <w:rsid w:val="00AF446C"/>
    <w:rsid w:val="00AF7853"/>
    <w:rsid w:val="00B019A1"/>
    <w:rsid w:val="00B27C8E"/>
    <w:rsid w:val="00B51667"/>
    <w:rsid w:val="00B80738"/>
    <w:rsid w:val="00C16B7D"/>
    <w:rsid w:val="00C22570"/>
    <w:rsid w:val="00C36EB8"/>
    <w:rsid w:val="00C56AAC"/>
    <w:rsid w:val="00C65708"/>
    <w:rsid w:val="00C76073"/>
    <w:rsid w:val="00C77DBB"/>
    <w:rsid w:val="00C81239"/>
    <w:rsid w:val="00CB6C26"/>
    <w:rsid w:val="00CC5240"/>
    <w:rsid w:val="00CF1F70"/>
    <w:rsid w:val="00D30887"/>
    <w:rsid w:val="00D764F0"/>
    <w:rsid w:val="00D80E43"/>
    <w:rsid w:val="00D91D3E"/>
    <w:rsid w:val="00D97413"/>
    <w:rsid w:val="00DD2335"/>
    <w:rsid w:val="00E01EC1"/>
    <w:rsid w:val="00E41BCF"/>
    <w:rsid w:val="00E5553A"/>
    <w:rsid w:val="00E922FF"/>
    <w:rsid w:val="00E97232"/>
    <w:rsid w:val="00EE2309"/>
    <w:rsid w:val="00F041AC"/>
    <w:rsid w:val="00F30214"/>
    <w:rsid w:val="00F87A87"/>
    <w:rsid w:val="00FB097B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9E9F"/>
  <w15:docId w15:val="{0453FC19-C90C-4C4D-B503-1E31A383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8E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27C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C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nhideWhenUsed/>
    <w:rsid w:val="00B27C8E"/>
    <w:rPr>
      <w:color w:val="0000FF"/>
      <w:u w:val="single"/>
    </w:rPr>
  </w:style>
  <w:style w:type="paragraph" w:styleId="NoSpacing">
    <w:name w:val="No Spacing"/>
    <w:uiPriority w:val="1"/>
    <w:qFormat/>
    <w:rsid w:val="00B27C8E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605DC"/>
    <w:pPr>
      <w:shd w:val="clear" w:color="auto" w:fill="FFFFFF"/>
      <w:overflowPunct w:val="0"/>
      <w:autoSpaceDE w:val="0"/>
      <w:autoSpaceDN w:val="0"/>
      <w:adjustRightInd w:val="0"/>
      <w:spacing w:before="0" w:after="0" w:line="360" w:lineRule="auto"/>
      <w:ind w:left="0" w:firstLine="0"/>
      <w:jc w:val="both"/>
      <w:textAlignment w:val="baseline"/>
    </w:pPr>
    <w:rPr>
      <w:rFonts w:ascii="Arial Armenian" w:eastAsia="Times New Roman" w:hAnsi="Arial Armenian"/>
      <w:szCs w:val="20"/>
    </w:rPr>
  </w:style>
  <w:style w:type="character" w:customStyle="1" w:styleId="BodyTextChar">
    <w:name w:val="Body Text Char"/>
    <w:basedOn w:val="DefaultParagraphFont"/>
    <w:link w:val="BodyText"/>
    <w:rsid w:val="003605DC"/>
    <w:rPr>
      <w:rFonts w:ascii="Arial Armenian" w:eastAsia="Times New Roman" w:hAnsi="Arial Armenian" w:cs="Times New Roman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C16B7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954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3B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90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65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curement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https:/mul2-minfin.gov.am/tasks/118369/oneclick/grutyun_HK.docx?token=8a2bbdbd447dfce4dceb5ec6b23b7238</cp:keywords>
  <cp:lastModifiedBy>Gor Hakobyan</cp:lastModifiedBy>
  <cp:revision>20</cp:revision>
  <dcterms:created xsi:type="dcterms:W3CDTF">2019-12-26T10:59:00Z</dcterms:created>
  <dcterms:modified xsi:type="dcterms:W3CDTF">2020-02-28T13:27:00Z</dcterms:modified>
</cp:coreProperties>
</file>